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86"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001C1F8B">
        <w:rPr>
          <w:sz w:val="24"/>
          <w:szCs w:val="24"/>
          <w:u w:val="single"/>
        </w:rPr>
        <w:t>CONSULENTE DEL LAVORO</w:t>
      </w:r>
    </w:p>
    <w:p w:rsidR="00247C86" w:rsidRPr="0074329B" w:rsidRDefault="00247C86" w:rsidP="00E45858">
      <w:pPr>
        <w:spacing w:after="0"/>
        <w:rPr>
          <w:sz w:val="24"/>
          <w:szCs w:val="24"/>
        </w:rPr>
      </w:pPr>
      <w:r>
        <w:rPr>
          <w:sz w:val="24"/>
          <w:szCs w:val="24"/>
        </w:rPr>
        <w:t xml:space="preserve">          </w:t>
      </w:r>
      <w:r w:rsidR="00E45858">
        <w:rPr>
          <w:sz w:val="24"/>
          <w:szCs w:val="24"/>
        </w:rPr>
        <w:t xml:space="preserve">  </w:t>
      </w:r>
      <w:r w:rsidR="00E45858" w:rsidRPr="00E45858">
        <w:t>VIA SANDRO PERTINI 32</w:t>
      </w:r>
      <w:r w:rsidR="00F84F43">
        <w:t xml:space="preserve">                                                                                             TEL 051 454116</w:t>
      </w:r>
      <w:r w:rsidR="00E45858" w:rsidRPr="00E45858">
        <w:t xml:space="preserve">        </w:t>
      </w:r>
    </w:p>
    <w:p w:rsidR="00247C86" w:rsidRDefault="00247C86" w:rsidP="00247C86">
      <w:pPr>
        <w:spacing w:after="0"/>
      </w:pPr>
      <w:r>
        <w:t xml:space="preserve">             </w:t>
      </w:r>
      <w:r w:rsidR="00E45858" w:rsidRPr="00E45858">
        <w:t>40068 SAN LAZZARO  DI SAVENA (BO)</w:t>
      </w:r>
      <w:r w:rsidR="00F84F43">
        <w:tab/>
      </w:r>
      <w:r w:rsidR="00F84F43">
        <w:tab/>
      </w:r>
      <w:r w:rsidR="00F84F43">
        <w:tab/>
        <w:t xml:space="preserve">                             </w:t>
      </w:r>
      <w:r>
        <w:t xml:space="preserve">     </w:t>
      </w:r>
      <w:r w:rsidR="00F84F43">
        <w:t xml:space="preserve">  FAX 051 455795</w:t>
      </w:r>
      <w:r w:rsidR="00F84F43">
        <w:tab/>
      </w:r>
      <w:r w:rsidR="00F84F43">
        <w:tab/>
      </w:r>
    </w:p>
    <w:p w:rsidR="00247C86" w:rsidRPr="00247C86" w:rsidRDefault="00247C86" w:rsidP="00247C86">
      <w:pPr>
        <w:spacing w:after="0"/>
        <w:jc w:val="both"/>
      </w:pPr>
      <w:r w:rsidRPr="00B65DFC">
        <w:rPr>
          <w:rFonts w:cstheme="minorHAnsi"/>
        </w:rPr>
        <w:t xml:space="preserve">  </w:t>
      </w:r>
      <w:r>
        <w:rPr>
          <w:rFonts w:cstheme="minorHAnsi"/>
        </w:rPr>
        <w:t xml:space="preserve">          </w:t>
      </w:r>
      <w:r w:rsidRPr="00B65DFC">
        <w:rPr>
          <w:rFonts w:cstheme="minorHAnsi"/>
        </w:rPr>
        <w:t xml:space="preserve"> San Lazzaro  di Savena, </w:t>
      </w:r>
      <w:r w:rsidR="0074329B">
        <w:rPr>
          <w:rFonts w:cstheme="minorHAnsi"/>
        </w:rPr>
        <w:t xml:space="preserve">20 Maggio </w:t>
      </w:r>
      <w:r w:rsidRPr="00B65DFC">
        <w:rPr>
          <w:rFonts w:cstheme="minorHAnsi"/>
        </w:rPr>
        <w:t>2019</w:t>
      </w:r>
    </w:p>
    <w:p w:rsidR="00D1112F" w:rsidRDefault="00247C86" w:rsidP="001C1F8B">
      <w:pPr>
        <w:spacing w:after="0"/>
        <w:jc w:val="both"/>
      </w:pPr>
      <w:r>
        <w:t xml:space="preserve">              </w:t>
      </w:r>
    </w:p>
    <w:p w:rsidR="0074329B" w:rsidRPr="00D1112F" w:rsidRDefault="001C1F8B" w:rsidP="001C1F8B">
      <w:pPr>
        <w:spacing w:after="0"/>
        <w:jc w:val="both"/>
      </w:pPr>
      <w:r>
        <w:t xml:space="preserve"> </w:t>
      </w:r>
      <w:r w:rsidR="0074329B">
        <w:rPr>
          <w:rFonts w:cstheme="minorHAnsi"/>
          <w:b/>
        </w:rPr>
        <w:t>CIRCOLARE N. 5</w:t>
      </w:r>
      <w:r w:rsidR="00122EAA" w:rsidRPr="001C1F8B">
        <w:rPr>
          <w:rFonts w:cstheme="minorHAnsi"/>
          <w:b/>
        </w:rPr>
        <w:t xml:space="preserve">: </w:t>
      </w:r>
      <w:r w:rsidR="000E7426" w:rsidRPr="001C1F8B">
        <w:rPr>
          <w:rFonts w:cstheme="minorHAnsi"/>
          <w:b/>
        </w:rPr>
        <w:t>“</w:t>
      </w:r>
      <w:r w:rsidR="0074329B">
        <w:rPr>
          <w:rFonts w:cstheme="minorHAnsi"/>
          <w:b/>
        </w:rPr>
        <w:t>Nuove modalità di presentazione delle domande di ANF: istruzioni operative”</w:t>
      </w:r>
    </w:p>
    <w:p w:rsidR="0074329B" w:rsidRDefault="0074329B" w:rsidP="001C1F8B">
      <w:pPr>
        <w:spacing w:after="0"/>
        <w:jc w:val="both"/>
        <w:rPr>
          <w:rFonts w:cstheme="minorHAnsi"/>
          <w:b/>
        </w:rPr>
      </w:pPr>
    </w:p>
    <w:p w:rsidR="0074329B" w:rsidRDefault="0074329B" w:rsidP="00D1112F">
      <w:pPr>
        <w:spacing w:after="0"/>
        <w:ind w:left="567"/>
        <w:jc w:val="both"/>
        <w:rPr>
          <w:rFonts w:cstheme="minorHAnsi"/>
        </w:rPr>
      </w:pPr>
      <w:r>
        <w:rPr>
          <w:rFonts w:cstheme="minorHAnsi"/>
        </w:rPr>
        <w:t>A decorrere dal 1° aprile 2019, così come comunicato dall’INPS con la circolare n. 45 de</w:t>
      </w:r>
      <w:r w:rsidR="000431B6">
        <w:rPr>
          <w:rFonts w:cstheme="minorHAnsi"/>
        </w:rPr>
        <w:t>l 22 marzo 2019, le domande di Assegno al Nucleo F</w:t>
      </w:r>
      <w:r>
        <w:rPr>
          <w:rFonts w:cstheme="minorHAnsi"/>
        </w:rPr>
        <w:t xml:space="preserve">amiliare dei lavoratori dipendenti di aziende private non agricole </w:t>
      </w:r>
      <w:r w:rsidRPr="00B1676D">
        <w:rPr>
          <w:rFonts w:cstheme="minorHAnsi"/>
          <w:b/>
          <w:u w:val="single"/>
        </w:rPr>
        <w:t>devono essere presentate direttamente all’INPS</w:t>
      </w:r>
      <w:r>
        <w:rPr>
          <w:rFonts w:cstheme="minorHAnsi"/>
        </w:rPr>
        <w:t>, esclusivamente in modalità telematica, e non più presentando il modell</w:t>
      </w:r>
      <w:r w:rsidR="00B1676D">
        <w:rPr>
          <w:rFonts w:cstheme="minorHAnsi"/>
        </w:rPr>
        <w:t>o ANF/DIP (SR16) al datore di lavoro</w:t>
      </w:r>
      <w:r>
        <w:rPr>
          <w:rFonts w:cstheme="minorHAnsi"/>
        </w:rPr>
        <w:t>.</w:t>
      </w:r>
    </w:p>
    <w:p w:rsidR="0074329B" w:rsidRDefault="0074329B" w:rsidP="00D1112F">
      <w:pPr>
        <w:spacing w:after="0"/>
        <w:jc w:val="both"/>
        <w:rPr>
          <w:rFonts w:cstheme="minorHAnsi"/>
        </w:rPr>
      </w:pPr>
    </w:p>
    <w:p w:rsidR="0074329B" w:rsidRDefault="0074329B" w:rsidP="00D1112F">
      <w:pPr>
        <w:spacing w:after="0"/>
        <w:ind w:left="567"/>
        <w:jc w:val="both"/>
        <w:rPr>
          <w:rFonts w:cstheme="minorHAnsi"/>
        </w:rPr>
      </w:pPr>
      <w:r>
        <w:rPr>
          <w:rFonts w:cstheme="minorHAnsi"/>
        </w:rPr>
        <w:t>A seguito dell’entrata in vigore delle nuove modalità, è stato rivisto il meccanismo di determinazione dell’importo di ANF: è l’INPS, infatti, che sulla base della domanda presentata dal lavoratore determina l’</w:t>
      </w:r>
      <w:r w:rsidR="000431B6">
        <w:rPr>
          <w:rFonts w:cstheme="minorHAnsi"/>
        </w:rPr>
        <w:t>importo</w:t>
      </w:r>
      <w:r>
        <w:rPr>
          <w:rFonts w:cstheme="minorHAnsi"/>
        </w:rPr>
        <w:t xml:space="preserve"> a questi spettante e poi provvede a comunicarlo al datore di lavoro mediante apposita utility nel Cassetto previdenziale aziende.</w:t>
      </w:r>
    </w:p>
    <w:p w:rsidR="0074329B" w:rsidRDefault="0074329B" w:rsidP="00D1112F">
      <w:pPr>
        <w:spacing w:after="0"/>
        <w:ind w:left="567"/>
        <w:jc w:val="both"/>
        <w:rPr>
          <w:rFonts w:cstheme="minorHAnsi"/>
        </w:rPr>
      </w:pPr>
    </w:p>
    <w:p w:rsidR="00BC2EE1" w:rsidRDefault="0074329B" w:rsidP="00D1112F">
      <w:pPr>
        <w:spacing w:after="0"/>
        <w:ind w:left="567"/>
        <w:jc w:val="both"/>
        <w:rPr>
          <w:rFonts w:cstheme="minorHAnsi"/>
        </w:rPr>
      </w:pPr>
      <w:r>
        <w:rPr>
          <w:rFonts w:cstheme="minorHAnsi"/>
        </w:rPr>
        <w:t xml:space="preserve">Nella citata circolare, l’INPS </w:t>
      </w:r>
      <w:r w:rsidR="00BC2EE1">
        <w:rPr>
          <w:rFonts w:cstheme="minorHAnsi"/>
        </w:rPr>
        <w:t>rinviava ad un successivo messaggio la spiegazione delle modal</w:t>
      </w:r>
      <w:r w:rsidR="000431B6">
        <w:rPr>
          <w:rFonts w:cstheme="minorHAnsi"/>
        </w:rPr>
        <w:t xml:space="preserve">ità di compilazione del flusso </w:t>
      </w:r>
      <w:proofErr w:type="spellStart"/>
      <w:r w:rsidR="000431B6">
        <w:rPr>
          <w:rFonts w:cstheme="minorHAnsi"/>
        </w:rPr>
        <w:t>U</w:t>
      </w:r>
      <w:r w:rsidR="00BC2EE1">
        <w:rPr>
          <w:rFonts w:cstheme="minorHAnsi"/>
        </w:rPr>
        <w:t>niemens</w:t>
      </w:r>
      <w:proofErr w:type="spellEnd"/>
      <w:r w:rsidR="00BC2EE1">
        <w:rPr>
          <w:rFonts w:cstheme="minorHAnsi"/>
        </w:rPr>
        <w:t xml:space="preserve"> e delle caratteristiche dell’utility per la visualizzazione degli importi degli ANF.</w:t>
      </w:r>
    </w:p>
    <w:p w:rsidR="00BC2EE1" w:rsidRDefault="00BC2EE1" w:rsidP="00D1112F">
      <w:pPr>
        <w:spacing w:after="0"/>
        <w:ind w:left="567"/>
        <w:jc w:val="both"/>
        <w:rPr>
          <w:rFonts w:cstheme="minorHAnsi"/>
        </w:rPr>
      </w:pPr>
    </w:p>
    <w:p w:rsidR="00BC2EE1" w:rsidRDefault="00BC2EE1" w:rsidP="00D1112F">
      <w:pPr>
        <w:spacing w:after="0"/>
        <w:ind w:left="1134"/>
        <w:jc w:val="both"/>
        <w:rPr>
          <w:rFonts w:cstheme="minorHAnsi"/>
        </w:rPr>
      </w:pPr>
      <w:r>
        <w:rPr>
          <w:rFonts w:cstheme="minorHAnsi"/>
        </w:rPr>
        <w:t xml:space="preserve">Con </w:t>
      </w:r>
      <w:r w:rsidR="000431B6">
        <w:rPr>
          <w:rFonts w:cstheme="minorHAnsi"/>
        </w:rPr>
        <w:t xml:space="preserve">il </w:t>
      </w:r>
      <w:r w:rsidR="000431B6" w:rsidRPr="000431B6">
        <w:rPr>
          <w:rFonts w:cstheme="minorHAnsi"/>
          <w:b/>
        </w:rPr>
        <w:t>M</w:t>
      </w:r>
      <w:r w:rsidRPr="000431B6">
        <w:rPr>
          <w:rFonts w:cstheme="minorHAnsi"/>
          <w:b/>
        </w:rPr>
        <w:t>essaggio n. 1777</w:t>
      </w:r>
      <w:r>
        <w:rPr>
          <w:rFonts w:cstheme="minorHAnsi"/>
        </w:rPr>
        <w:t xml:space="preserve"> </w:t>
      </w:r>
      <w:r w:rsidRPr="000431B6">
        <w:rPr>
          <w:rFonts w:cstheme="minorHAnsi"/>
          <w:b/>
        </w:rPr>
        <w:t>dell’8 maggio 2019</w:t>
      </w:r>
      <w:r>
        <w:rPr>
          <w:rFonts w:cstheme="minorHAnsi"/>
        </w:rPr>
        <w:t xml:space="preserve">, l’INPS ha fornito le necessarie </w:t>
      </w:r>
      <w:r w:rsidRPr="000431B6">
        <w:rPr>
          <w:rFonts w:cstheme="minorHAnsi"/>
          <w:b/>
        </w:rPr>
        <w:t>indicazioni operative</w:t>
      </w:r>
      <w:r>
        <w:rPr>
          <w:rFonts w:cstheme="minorHAnsi"/>
        </w:rPr>
        <w:t xml:space="preserve"> per la </w:t>
      </w:r>
      <w:r w:rsidRPr="000431B6">
        <w:rPr>
          <w:rFonts w:cstheme="minorHAnsi"/>
          <w:b/>
        </w:rPr>
        <w:t>gestione</w:t>
      </w:r>
      <w:r>
        <w:rPr>
          <w:rFonts w:cstheme="minorHAnsi"/>
        </w:rPr>
        <w:t xml:space="preserve"> degli </w:t>
      </w:r>
      <w:r w:rsidRPr="000431B6">
        <w:rPr>
          <w:rFonts w:cstheme="minorHAnsi"/>
          <w:b/>
        </w:rPr>
        <w:t>ANF</w:t>
      </w:r>
      <w:r>
        <w:rPr>
          <w:rFonts w:cstheme="minorHAnsi"/>
        </w:rPr>
        <w:t xml:space="preserve"> richiesti con le nuove modalità a decorrere dal 1° aprile 2019, apportando</w:t>
      </w:r>
      <w:r w:rsidR="006976DF">
        <w:rPr>
          <w:rFonts w:cstheme="minorHAnsi"/>
        </w:rPr>
        <w:t xml:space="preserve"> anche</w:t>
      </w:r>
      <w:r>
        <w:rPr>
          <w:rFonts w:cstheme="minorHAnsi"/>
        </w:rPr>
        <w:t xml:space="preserve"> alcune precisazioni in ordine alle modalità di richiesta.</w:t>
      </w:r>
    </w:p>
    <w:p w:rsidR="00D1112F" w:rsidRDefault="00D1112F" w:rsidP="00D1112F">
      <w:pPr>
        <w:spacing w:after="0"/>
        <w:rPr>
          <w:rFonts w:cstheme="minorHAnsi"/>
        </w:rPr>
      </w:pPr>
    </w:p>
    <w:p w:rsidR="00BC2EE1" w:rsidRPr="00BC2EE1" w:rsidRDefault="00BC2EE1" w:rsidP="00D1112F">
      <w:pPr>
        <w:spacing w:after="0"/>
        <w:rPr>
          <w:rFonts w:cstheme="minorHAnsi"/>
          <w:b/>
          <w:u w:val="single"/>
        </w:rPr>
      </w:pPr>
      <w:r w:rsidRPr="00BC2EE1">
        <w:rPr>
          <w:rFonts w:cstheme="minorHAnsi"/>
          <w:b/>
          <w:u w:val="single"/>
        </w:rPr>
        <w:t>PRESENTAZIONE DELLA DOMANDA: CHIARIMENTI</w:t>
      </w:r>
    </w:p>
    <w:p w:rsidR="001C1F8B" w:rsidRDefault="006976DF" w:rsidP="00D1112F">
      <w:pPr>
        <w:spacing w:after="0"/>
        <w:ind w:left="567"/>
        <w:jc w:val="both"/>
        <w:rPr>
          <w:rFonts w:eastAsia="Times New Roman" w:cstheme="minorHAnsi"/>
          <w:bCs/>
          <w:lang w:eastAsia="ar-SA"/>
        </w:rPr>
      </w:pPr>
      <w:r>
        <w:rPr>
          <w:rFonts w:eastAsia="Times New Roman" w:cstheme="minorHAnsi"/>
          <w:bCs/>
          <w:lang w:eastAsia="ar-SA"/>
        </w:rPr>
        <w:t>I</w:t>
      </w:r>
      <w:r w:rsidR="00BC2EE1">
        <w:rPr>
          <w:rFonts w:eastAsia="Times New Roman" w:cstheme="minorHAnsi"/>
          <w:bCs/>
          <w:lang w:eastAsia="ar-SA"/>
        </w:rPr>
        <w:t xml:space="preserve">n primo luogo, l’INPS conferma che le </w:t>
      </w:r>
      <w:r w:rsidR="00BC2EE1" w:rsidRPr="006976DF">
        <w:rPr>
          <w:rFonts w:eastAsia="Times New Roman" w:cstheme="minorHAnsi"/>
          <w:b/>
          <w:bCs/>
          <w:lang w:eastAsia="ar-SA"/>
        </w:rPr>
        <w:t>domande presentate</w:t>
      </w:r>
      <w:r w:rsidR="00BC2EE1">
        <w:rPr>
          <w:rFonts w:eastAsia="Times New Roman" w:cstheme="minorHAnsi"/>
          <w:bCs/>
          <w:lang w:eastAsia="ar-SA"/>
        </w:rPr>
        <w:t xml:space="preserve"> con il modello cartaceo ANF/DIP (SR16) </w:t>
      </w:r>
      <w:r w:rsidR="00BC2EE1" w:rsidRPr="006976DF">
        <w:rPr>
          <w:rFonts w:eastAsia="Times New Roman" w:cstheme="minorHAnsi"/>
          <w:b/>
          <w:bCs/>
          <w:lang w:eastAsia="ar-SA"/>
        </w:rPr>
        <w:t>entro il</w:t>
      </w:r>
      <w:r w:rsidR="00BC2EE1">
        <w:rPr>
          <w:rFonts w:eastAsia="Times New Roman" w:cstheme="minorHAnsi"/>
          <w:bCs/>
          <w:lang w:eastAsia="ar-SA"/>
        </w:rPr>
        <w:t xml:space="preserve"> </w:t>
      </w:r>
      <w:r w:rsidR="00BC2EE1" w:rsidRPr="006976DF">
        <w:rPr>
          <w:rFonts w:eastAsia="Times New Roman" w:cstheme="minorHAnsi"/>
          <w:b/>
          <w:bCs/>
          <w:lang w:eastAsia="ar-SA"/>
        </w:rPr>
        <w:t>31 marzo 2019</w:t>
      </w:r>
      <w:r>
        <w:rPr>
          <w:rFonts w:eastAsia="Times New Roman" w:cstheme="minorHAnsi"/>
          <w:bCs/>
          <w:lang w:eastAsia="ar-SA"/>
        </w:rPr>
        <w:t>, siano esse relative a</w:t>
      </w:r>
      <w:r w:rsidR="00BC2EE1">
        <w:rPr>
          <w:rFonts w:eastAsia="Times New Roman" w:cstheme="minorHAnsi"/>
          <w:bCs/>
          <w:lang w:eastAsia="ar-SA"/>
        </w:rPr>
        <w:t xml:space="preserve"> periodi correnti, passati o successivi </w:t>
      </w:r>
      <w:r>
        <w:rPr>
          <w:rFonts w:eastAsia="Times New Roman" w:cstheme="minorHAnsi"/>
          <w:bCs/>
          <w:lang w:eastAsia="ar-SA"/>
        </w:rPr>
        <w:t>a tale data (e</w:t>
      </w:r>
      <w:r w:rsidR="00B917E8">
        <w:rPr>
          <w:rFonts w:eastAsia="Times New Roman" w:cstheme="minorHAnsi"/>
          <w:bCs/>
          <w:lang w:eastAsia="ar-SA"/>
        </w:rPr>
        <w:t xml:space="preserve"> comunque fino a giugno 2019), </w:t>
      </w:r>
      <w:r w:rsidR="00B917E8" w:rsidRPr="006976DF">
        <w:rPr>
          <w:rFonts w:eastAsia="Times New Roman" w:cstheme="minorHAnsi"/>
          <w:b/>
          <w:bCs/>
          <w:lang w:eastAsia="ar-SA"/>
        </w:rPr>
        <w:t>non devono essere ripresentate</w:t>
      </w:r>
      <w:r w:rsidR="00B917E8">
        <w:rPr>
          <w:rFonts w:eastAsia="Times New Roman" w:cstheme="minorHAnsi"/>
          <w:bCs/>
          <w:lang w:eastAsia="ar-SA"/>
        </w:rPr>
        <w:t xml:space="preserve"> dai lavoratori e le stesse dovranno essere lavorate dai datori di lavoro secondo le procedure in vigore prima dell’introduzione delle nuove modalità.</w:t>
      </w:r>
    </w:p>
    <w:p w:rsidR="00B917E8" w:rsidRDefault="00B917E8" w:rsidP="00D1112F">
      <w:pPr>
        <w:spacing w:after="0"/>
        <w:ind w:left="567"/>
        <w:jc w:val="both"/>
        <w:rPr>
          <w:rFonts w:eastAsia="Times New Roman" w:cstheme="minorHAnsi"/>
          <w:bCs/>
          <w:lang w:eastAsia="ar-SA"/>
        </w:rPr>
      </w:pPr>
    </w:p>
    <w:p w:rsidR="00B917E8" w:rsidRDefault="00B917E8" w:rsidP="00D1112F">
      <w:pPr>
        <w:spacing w:after="0"/>
        <w:ind w:left="567"/>
        <w:jc w:val="both"/>
        <w:rPr>
          <w:rFonts w:eastAsia="Times New Roman" w:cstheme="minorHAnsi"/>
          <w:bCs/>
          <w:lang w:eastAsia="ar-SA"/>
        </w:rPr>
      </w:pPr>
      <w:r>
        <w:rPr>
          <w:rFonts w:eastAsia="Times New Roman" w:cstheme="minorHAnsi"/>
          <w:bCs/>
          <w:lang w:eastAsia="ar-SA"/>
        </w:rPr>
        <w:t xml:space="preserve">Con riferimento, invece, alle domande di ANF inviate telematicamente a partire </w:t>
      </w:r>
      <w:r w:rsidRPr="006976DF">
        <w:rPr>
          <w:rFonts w:eastAsia="Times New Roman" w:cstheme="minorHAnsi"/>
          <w:b/>
          <w:bCs/>
          <w:lang w:eastAsia="ar-SA"/>
        </w:rPr>
        <w:t>dal 1° aprile 2019</w:t>
      </w:r>
      <w:r>
        <w:rPr>
          <w:rFonts w:eastAsia="Times New Roman" w:cstheme="minorHAnsi"/>
          <w:bCs/>
          <w:lang w:eastAsia="ar-SA"/>
        </w:rPr>
        <w:t>, l’INPS precisa che l’esito</w:t>
      </w:r>
      <w:r w:rsidR="006976DF">
        <w:rPr>
          <w:rFonts w:eastAsia="Times New Roman" w:cstheme="minorHAnsi"/>
          <w:bCs/>
          <w:lang w:eastAsia="ar-SA"/>
        </w:rPr>
        <w:t xml:space="preserve"> della domanda presentata </w:t>
      </w:r>
      <w:r w:rsidR="006976DF" w:rsidRPr="00B1676D">
        <w:rPr>
          <w:rFonts w:eastAsia="Times New Roman" w:cstheme="minorHAnsi"/>
          <w:b/>
          <w:bCs/>
          <w:u w:val="single"/>
          <w:lang w:eastAsia="ar-SA"/>
        </w:rPr>
        <w:t>sarà reso disponibile, nella sezione “Consultazione domanda” dell’area riservata del lavoratore</w:t>
      </w:r>
      <w:r w:rsidR="006976DF">
        <w:rPr>
          <w:rFonts w:eastAsia="Times New Roman" w:cstheme="minorHAnsi"/>
          <w:bCs/>
          <w:lang w:eastAsia="ar-SA"/>
        </w:rPr>
        <w:t>, anche ai Patronati che avessero inviato la richiesta su delega di quest’ultimo.</w:t>
      </w:r>
    </w:p>
    <w:p w:rsidR="006976DF" w:rsidRDefault="006976DF" w:rsidP="00D1112F">
      <w:pPr>
        <w:spacing w:after="0"/>
        <w:ind w:left="567"/>
        <w:jc w:val="both"/>
        <w:rPr>
          <w:rFonts w:eastAsia="Times New Roman" w:cstheme="minorHAnsi"/>
          <w:bCs/>
          <w:lang w:eastAsia="ar-SA"/>
        </w:rPr>
      </w:pPr>
    </w:p>
    <w:p w:rsidR="006976DF" w:rsidRDefault="006976DF" w:rsidP="009526CE">
      <w:pPr>
        <w:spacing w:after="0"/>
        <w:ind w:left="567"/>
        <w:jc w:val="both"/>
        <w:rPr>
          <w:rFonts w:eastAsia="Times New Roman" w:cstheme="minorHAnsi"/>
          <w:bCs/>
          <w:lang w:eastAsia="ar-SA"/>
        </w:rPr>
      </w:pPr>
      <w:r>
        <w:rPr>
          <w:rFonts w:eastAsia="Times New Roman" w:cstheme="minorHAnsi"/>
          <w:bCs/>
          <w:lang w:eastAsia="ar-SA"/>
        </w:rPr>
        <w:t xml:space="preserve">Il messaggio in esame precisa poi che </w:t>
      </w:r>
      <w:r w:rsidRPr="006976DF">
        <w:rPr>
          <w:rFonts w:eastAsia="Times New Roman" w:cstheme="minorHAnsi"/>
          <w:b/>
          <w:bCs/>
          <w:lang w:eastAsia="ar-SA"/>
        </w:rPr>
        <w:t>i lavoratori devono comunicare l’esito positivo della richiesta al proprio</w:t>
      </w:r>
      <w:r>
        <w:rPr>
          <w:rFonts w:eastAsia="Times New Roman" w:cstheme="minorHAnsi"/>
          <w:bCs/>
          <w:lang w:eastAsia="ar-SA"/>
        </w:rPr>
        <w:t xml:space="preserve"> </w:t>
      </w:r>
      <w:r w:rsidRPr="006976DF">
        <w:rPr>
          <w:rFonts w:eastAsia="Times New Roman" w:cstheme="minorHAnsi"/>
          <w:b/>
          <w:bCs/>
          <w:lang w:eastAsia="ar-SA"/>
        </w:rPr>
        <w:t>datore di lavoro</w:t>
      </w:r>
      <w:r>
        <w:rPr>
          <w:rFonts w:eastAsia="Times New Roman" w:cstheme="minorHAnsi"/>
          <w:bCs/>
          <w:lang w:eastAsia="ar-SA"/>
        </w:rPr>
        <w:t>, il quale successivamente accederà, mediante l’utility messa a disposizione dall’INPS, ai dati degli importi.</w:t>
      </w:r>
    </w:p>
    <w:p w:rsidR="00B917E8" w:rsidRDefault="00B917E8" w:rsidP="009526CE">
      <w:pPr>
        <w:spacing w:after="0"/>
        <w:ind w:left="567"/>
        <w:jc w:val="both"/>
        <w:rPr>
          <w:rFonts w:eastAsia="Times New Roman" w:cstheme="minorHAnsi"/>
          <w:bCs/>
          <w:lang w:eastAsia="ar-SA"/>
        </w:rPr>
      </w:pPr>
    </w:p>
    <w:p w:rsidR="00B1676D" w:rsidRDefault="00B1676D" w:rsidP="002D5341">
      <w:pPr>
        <w:spacing w:after="0"/>
        <w:ind w:left="567"/>
        <w:rPr>
          <w:rFonts w:eastAsia="Times New Roman" w:cstheme="minorHAnsi"/>
          <w:bCs/>
          <w:lang w:eastAsia="ar-SA"/>
        </w:rPr>
      </w:pPr>
    </w:p>
    <w:p w:rsidR="00B1676D" w:rsidRDefault="00B1676D" w:rsidP="002D5341">
      <w:pPr>
        <w:spacing w:after="0"/>
        <w:ind w:left="567"/>
        <w:rPr>
          <w:rFonts w:eastAsia="Times New Roman" w:cstheme="minorHAnsi"/>
          <w:bCs/>
          <w:lang w:eastAsia="ar-SA"/>
        </w:rPr>
      </w:pPr>
    </w:p>
    <w:p w:rsidR="00B917E8" w:rsidRDefault="00B917E8" w:rsidP="002D5341">
      <w:pPr>
        <w:spacing w:after="0"/>
        <w:ind w:left="567"/>
        <w:rPr>
          <w:rFonts w:eastAsia="Times New Roman" w:cstheme="minorHAnsi"/>
          <w:b/>
          <w:bCs/>
          <w:lang w:eastAsia="ar-SA"/>
        </w:rPr>
      </w:pPr>
      <w:r w:rsidRPr="00B917E8">
        <w:rPr>
          <w:rFonts w:eastAsia="Times New Roman" w:cstheme="minorHAnsi"/>
          <w:b/>
          <w:bCs/>
          <w:lang w:eastAsia="ar-SA"/>
        </w:rPr>
        <w:t>Autorizzazione ANF</w:t>
      </w:r>
    </w:p>
    <w:p w:rsidR="008B108E" w:rsidRDefault="00B917E8" w:rsidP="00D1112F">
      <w:pPr>
        <w:spacing w:after="0"/>
        <w:ind w:left="567"/>
        <w:jc w:val="both"/>
        <w:rPr>
          <w:rFonts w:eastAsia="Times New Roman" w:cstheme="minorHAnsi"/>
          <w:bCs/>
          <w:lang w:eastAsia="ar-SA"/>
        </w:rPr>
      </w:pPr>
      <w:r w:rsidRPr="00B917E8">
        <w:rPr>
          <w:rFonts w:eastAsia="Times New Roman" w:cstheme="minorHAnsi"/>
          <w:bCs/>
          <w:lang w:eastAsia="ar-SA"/>
        </w:rPr>
        <w:t xml:space="preserve">Per </w:t>
      </w:r>
      <w:r w:rsidR="007F2D0D">
        <w:rPr>
          <w:rFonts w:eastAsia="Times New Roman" w:cstheme="minorHAnsi"/>
          <w:bCs/>
          <w:lang w:eastAsia="ar-SA"/>
        </w:rPr>
        <w:t>quanto riguarda, invece</w:t>
      </w:r>
      <w:r>
        <w:rPr>
          <w:rFonts w:eastAsia="Times New Roman" w:cstheme="minorHAnsi"/>
          <w:bCs/>
          <w:lang w:eastAsia="ar-SA"/>
        </w:rPr>
        <w:t>, la necessità di presentare la richiesta di autorizzazione, l’INPS conferm</w:t>
      </w:r>
      <w:r w:rsidR="006976DF">
        <w:rPr>
          <w:rFonts w:eastAsia="Times New Roman" w:cstheme="minorHAnsi"/>
          <w:bCs/>
          <w:lang w:eastAsia="ar-SA"/>
        </w:rPr>
        <w:t>a le indicazioni fornite nella C</w:t>
      </w:r>
      <w:r>
        <w:rPr>
          <w:rFonts w:eastAsia="Times New Roman" w:cstheme="minorHAnsi"/>
          <w:bCs/>
          <w:lang w:eastAsia="ar-SA"/>
        </w:rPr>
        <w:t>ircolare n</w:t>
      </w:r>
      <w:r w:rsidR="006976DF">
        <w:rPr>
          <w:rFonts w:eastAsia="Times New Roman" w:cstheme="minorHAnsi"/>
          <w:bCs/>
          <w:lang w:eastAsia="ar-SA"/>
        </w:rPr>
        <w:t>°.</w:t>
      </w:r>
      <w:r>
        <w:rPr>
          <w:rFonts w:eastAsia="Times New Roman" w:cstheme="minorHAnsi"/>
          <w:bCs/>
          <w:lang w:eastAsia="ar-SA"/>
        </w:rPr>
        <w:t xml:space="preserve"> 45/2019 e precisa ulteriormente che la stessa, qualora necessaria, </w:t>
      </w:r>
      <w:r w:rsidRPr="00B1676D">
        <w:rPr>
          <w:rFonts w:eastAsia="Times New Roman" w:cstheme="minorHAnsi"/>
          <w:b/>
          <w:bCs/>
          <w:u w:val="single"/>
          <w:lang w:eastAsia="ar-SA"/>
        </w:rPr>
        <w:t>deve essere richiesta dal lavoratore</w:t>
      </w:r>
      <w:r>
        <w:rPr>
          <w:rFonts w:eastAsia="Times New Roman" w:cstheme="minorHAnsi"/>
          <w:bCs/>
          <w:lang w:eastAsia="ar-SA"/>
        </w:rPr>
        <w:t xml:space="preserve"> </w:t>
      </w:r>
      <w:r w:rsidRPr="006976DF">
        <w:rPr>
          <w:rFonts w:eastAsia="Times New Roman" w:cstheme="minorHAnsi"/>
          <w:bCs/>
          <w:i/>
          <w:lang w:eastAsia="ar-SA"/>
        </w:rPr>
        <w:t>“privo di un provvedimento di autorizzazione in corso di validità”</w:t>
      </w:r>
      <w:r>
        <w:rPr>
          <w:rFonts w:eastAsia="Times New Roman" w:cstheme="minorHAnsi"/>
          <w:bCs/>
          <w:lang w:eastAsia="ar-SA"/>
        </w:rPr>
        <w:t>. Pertanto</w:t>
      </w:r>
      <w:r w:rsidR="008B108E">
        <w:rPr>
          <w:rFonts w:eastAsia="Times New Roman" w:cstheme="minorHAnsi"/>
          <w:bCs/>
          <w:lang w:eastAsia="ar-SA"/>
        </w:rPr>
        <w:t xml:space="preserve">, qualora il lavoratore debba inviare una nuova richiesta di ANF e sia </w:t>
      </w:r>
      <w:r w:rsidR="008B108E" w:rsidRPr="006976DF">
        <w:rPr>
          <w:rFonts w:eastAsia="Times New Roman" w:cstheme="minorHAnsi"/>
          <w:b/>
          <w:bCs/>
          <w:lang w:eastAsia="ar-SA"/>
        </w:rPr>
        <w:t>già in possesso</w:t>
      </w:r>
      <w:r w:rsidR="008B108E">
        <w:rPr>
          <w:rFonts w:eastAsia="Times New Roman" w:cstheme="minorHAnsi"/>
          <w:bCs/>
          <w:lang w:eastAsia="ar-SA"/>
        </w:rPr>
        <w:t xml:space="preserve"> di un</w:t>
      </w:r>
      <w:r w:rsidR="008B108E" w:rsidRPr="006976DF">
        <w:rPr>
          <w:rFonts w:eastAsia="Times New Roman" w:cstheme="minorHAnsi"/>
          <w:bCs/>
          <w:lang w:eastAsia="ar-SA"/>
        </w:rPr>
        <w:t>’</w:t>
      </w:r>
      <w:r w:rsidR="008B108E" w:rsidRPr="006976DF">
        <w:rPr>
          <w:rFonts w:eastAsia="Times New Roman" w:cstheme="minorHAnsi"/>
          <w:b/>
          <w:bCs/>
          <w:lang w:eastAsia="ar-SA"/>
        </w:rPr>
        <w:t>autorizzazione</w:t>
      </w:r>
      <w:r w:rsidR="008B108E">
        <w:rPr>
          <w:rFonts w:eastAsia="Times New Roman" w:cstheme="minorHAnsi"/>
          <w:bCs/>
          <w:lang w:eastAsia="ar-SA"/>
        </w:rPr>
        <w:t xml:space="preserve"> </w:t>
      </w:r>
      <w:r w:rsidR="008B108E" w:rsidRPr="006976DF">
        <w:rPr>
          <w:rFonts w:eastAsia="Times New Roman" w:cstheme="minorHAnsi"/>
          <w:b/>
          <w:bCs/>
          <w:lang w:eastAsia="ar-SA"/>
        </w:rPr>
        <w:t>valida</w:t>
      </w:r>
      <w:r w:rsidR="008B108E">
        <w:rPr>
          <w:rFonts w:eastAsia="Times New Roman" w:cstheme="minorHAnsi"/>
          <w:bCs/>
          <w:lang w:eastAsia="ar-SA"/>
        </w:rPr>
        <w:t xml:space="preserve">, </w:t>
      </w:r>
      <w:r w:rsidR="008B108E" w:rsidRPr="006976DF">
        <w:rPr>
          <w:rFonts w:eastAsia="Times New Roman" w:cstheme="minorHAnsi"/>
          <w:b/>
          <w:bCs/>
          <w:lang w:eastAsia="ar-SA"/>
        </w:rPr>
        <w:t>non è tenuto a ripresentare</w:t>
      </w:r>
      <w:r w:rsidR="008B108E">
        <w:rPr>
          <w:rFonts w:eastAsia="Times New Roman" w:cstheme="minorHAnsi"/>
          <w:bCs/>
          <w:lang w:eastAsia="ar-SA"/>
        </w:rPr>
        <w:t xml:space="preserve"> la richiesta di </w:t>
      </w:r>
      <w:r w:rsidR="00AE5F46">
        <w:rPr>
          <w:rFonts w:eastAsia="Times New Roman" w:cstheme="minorHAnsi"/>
          <w:bCs/>
          <w:lang w:eastAsia="ar-SA"/>
        </w:rPr>
        <w:t>A</w:t>
      </w:r>
      <w:r w:rsidR="008B108E">
        <w:rPr>
          <w:rFonts w:eastAsia="Times New Roman" w:cstheme="minorHAnsi"/>
          <w:bCs/>
          <w:lang w:eastAsia="ar-SA"/>
        </w:rPr>
        <w:t>utorizzazione secondo le nuove modalità.</w:t>
      </w:r>
    </w:p>
    <w:p w:rsidR="008B108E" w:rsidRDefault="008B108E" w:rsidP="00D1112F">
      <w:pPr>
        <w:spacing w:after="0"/>
        <w:ind w:left="567"/>
        <w:jc w:val="both"/>
        <w:rPr>
          <w:rFonts w:eastAsia="Times New Roman" w:cstheme="minorHAnsi"/>
          <w:bCs/>
          <w:lang w:eastAsia="ar-SA"/>
        </w:rPr>
      </w:pPr>
    </w:p>
    <w:p w:rsidR="001C1F8B" w:rsidRDefault="008B108E" w:rsidP="00B1676D">
      <w:pPr>
        <w:spacing w:after="0"/>
        <w:ind w:left="567"/>
        <w:jc w:val="both"/>
        <w:rPr>
          <w:sz w:val="24"/>
          <w:szCs w:val="24"/>
        </w:rPr>
      </w:pPr>
      <w:r>
        <w:rPr>
          <w:rFonts w:eastAsia="Times New Roman" w:cstheme="minorHAnsi"/>
          <w:bCs/>
          <w:lang w:eastAsia="ar-SA"/>
        </w:rPr>
        <w:t>L’Istituto ricorda poi che a seguito della presentazione della richiesta di autorizzazione con le nuove modalità,</w:t>
      </w:r>
      <w:r w:rsidR="00B1676D">
        <w:rPr>
          <w:rFonts w:eastAsia="Times New Roman" w:cstheme="minorHAnsi"/>
          <w:bCs/>
          <w:lang w:eastAsia="ar-SA"/>
        </w:rPr>
        <w:t xml:space="preserve"> </w:t>
      </w:r>
      <w:r>
        <w:rPr>
          <w:sz w:val="24"/>
          <w:szCs w:val="24"/>
        </w:rPr>
        <w:t xml:space="preserve">ai lavoratori non sarà più inviato il provvedimento di accoglimento della richiesta (ANF43), in quanto in caso di accoglimento l’INPS procederà in automatico all’istruttoria della domanda di ANF. Solamente nel caso di diniego dell’autorizzazione al lavoratore sarà inviata apposita comunicazione, mediante il modello ANF58. Il modello </w:t>
      </w:r>
      <w:r w:rsidR="007F2D0D">
        <w:rPr>
          <w:sz w:val="24"/>
          <w:szCs w:val="24"/>
        </w:rPr>
        <w:t xml:space="preserve">ANF43 rimane in </w:t>
      </w:r>
      <w:r>
        <w:rPr>
          <w:sz w:val="24"/>
          <w:szCs w:val="24"/>
        </w:rPr>
        <w:t>essere solamente per gli operai agricoli a tempo indeterminato (OTI), per i quali continuano a rimanere in vigore</w:t>
      </w:r>
      <w:r w:rsidR="007F2D0D">
        <w:rPr>
          <w:sz w:val="24"/>
          <w:szCs w:val="24"/>
        </w:rPr>
        <w:t xml:space="preserve"> le previgenti modalità di presentazione della richiesta di ANF (mediante il modello cartaceo ANF/DIP presentato al datore di lavoro).</w:t>
      </w:r>
    </w:p>
    <w:p w:rsidR="007F2D0D" w:rsidRDefault="007F2D0D" w:rsidP="00D1112F">
      <w:pPr>
        <w:spacing w:after="0"/>
        <w:ind w:left="567"/>
        <w:jc w:val="both"/>
        <w:rPr>
          <w:sz w:val="24"/>
          <w:szCs w:val="24"/>
        </w:rPr>
      </w:pPr>
    </w:p>
    <w:p w:rsidR="007F2D0D" w:rsidRDefault="007F2D0D" w:rsidP="00B1676D">
      <w:pPr>
        <w:spacing w:after="0"/>
        <w:ind w:left="567"/>
        <w:jc w:val="both"/>
        <w:rPr>
          <w:sz w:val="24"/>
          <w:szCs w:val="24"/>
        </w:rPr>
      </w:pPr>
      <w:r>
        <w:rPr>
          <w:sz w:val="24"/>
          <w:szCs w:val="24"/>
        </w:rPr>
        <w:t>L’INPS precisa che il modello ANF43 non verrà inviato ai lavoratori neppure nel caso di domanda presentata prima del 1° aprile 2019, qualora questa non sia stata ancora lavorata dall’Istituto.</w:t>
      </w:r>
    </w:p>
    <w:p w:rsidR="007F2D0D" w:rsidRDefault="007F2D0D" w:rsidP="00D1112F">
      <w:pPr>
        <w:spacing w:after="0"/>
        <w:ind w:left="567"/>
        <w:jc w:val="both"/>
        <w:rPr>
          <w:sz w:val="24"/>
          <w:szCs w:val="24"/>
        </w:rPr>
      </w:pPr>
    </w:p>
    <w:p w:rsidR="007F2D0D" w:rsidRDefault="007F2D0D" w:rsidP="00D1112F">
      <w:pPr>
        <w:spacing w:after="0"/>
        <w:ind w:left="567"/>
        <w:jc w:val="both"/>
        <w:rPr>
          <w:sz w:val="24"/>
          <w:szCs w:val="24"/>
        </w:rPr>
      </w:pPr>
      <w:r>
        <w:rPr>
          <w:sz w:val="24"/>
          <w:szCs w:val="24"/>
        </w:rPr>
        <w:t>A seguito dell’entrata in vigore delle nuove disposizioni, si riduce notevolmente la responsabilità del datore di lavoro nella raccolta e verifica della documentazione.</w:t>
      </w:r>
    </w:p>
    <w:p w:rsidR="007F2D0D" w:rsidRDefault="007F2D0D" w:rsidP="00D1112F">
      <w:pPr>
        <w:spacing w:after="0"/>
        <w:ind w:left="567"/>
        <w:jc w:val="both"/>
        <w:rPr>
          <w:sz w:val="24"/>
          <w:szCs w:val="24"/>
        </w:rPr>
      </w:pPr>
      <w:r>
        <w:rPr>
          <w:sz w:val="24"/>
          <w:szCs w:val="24"/>
        </w:rPr>
        <w:t>L’INPS, infatti:</w:t>
      </w:r>
    </w:p>
    <w:p w:rsidR="007F2D0D" w:rsidRPr="00AE5F46" w:rsidRDefault="007F2D0D" w:rsidP="00D1112F">
      <w:pPr>
        <w:spacing w:after="0"/>
        <w:ind w:left="1134"/>
        <w:jc w:val="both"/>
        <w:rPr>
          <w:i/>
          <w:sz w:val="24"/>
          <w:szCs w:val="24"/>
        </w:rPr>
      </w:pPr>
      <w:r w:rsidRPr="00AE5F46">
        <w:rPr>
          <w:i/>
          <w:sz w:val="24"/>
          <w:szCs w:val="24"/>
        </w:rPr>
        <w:t>“il datore di lavoro non dovrà più prendere visione né acquisire agli atti i provvedimenti autorizzativi in quanto il diritto alla prestazione familiare è verificato dall’Istituto che, accertando gli importi spettanti, ne conferma l’esistenza e permette il pagamento da parte del datore di lavoro.”</w:t>
      </w:r>
    </w:p>
    <w:p w:rsidR="007F2D0D" w:rsidRDefault="007F2D0D" w:rsidP="00D1112F">
      <w:pPr>
        <w:spacing w:after="0"/>
        <w:ind w:left="567"/>
        <w:jc w:val="both"/>
        <w:rPr>
          <w:sz w:val="24"/>
          <w:szCs w:val="24"/>
        </w:rPr>
      </w:pPr>
    </w:p>
    <w:p w:rsidR="00FD6E7F" w:rsidRPr="00B1676D" w:rsidRDefault="007F2D0D" w:rsidP="00D1112F">
      <w:pPr>
        <w:spacing w:after="0"/>
        <w:ind w:left="567"/>
        <w:jc w:val="both"/>
        <w:rPr>
          <w:b/>
          <w:sz w:val="24"/>
          <w:szCs w:val="24"/>
          <w:u w:val="single"/>
        </w:rPr>
      </w:pPr>
      <w:r>
        <w:rPr>
          <w:sz w:val="24"/>
          <w:szCs w:val="24"/>
        </w:rPr>
        <w:t xml:space="preserve">Infine, in caso di </w:t>
      </w:r>
      <w:r w:rsidRPr="00AE5F46">
        <w:rPr>
          <w:b/>
          <w:sz w:val="24"/>
          <w:szCs w:val="24"/>
        </w:rPr>
        <w:t>autorizzazione parziale</w:t>
      </w:r>
      <w:r>
        <w:rPr>
          <w:sz w:val="24"/>
          <w:szCs w:val="24"/>
        </w:rPr>
        <w:t xml:space="preserve"> rilasciata solo per alcuni component</w:t>
      </w:r>
      <w:r w:rsidR="00FD6E7F">
        <w:rPr>
          <w:sz w:val="24"/>
          <w:szCs w:val="24"/>
        </w:rPr>
        <w:t>i del nucleo familiare, l’importo degli ANF comunicato sarà calcolato avendo riguardo al solo nucleo autorizzato e, in ogni caso</w:t>
      </w:r>
      <w:r w:rsidR="00FD6E7F" w:rsidRPr="00B1676D">
        <w:rPr>
          <w:b/>
          <w:sz w:val="24"/>
          <w:szCs w:val="24"/>
          <w:u w:val="single"/>
        </w:rPr>
        <w:t>, l’esito della procedura di autorizzazione sarà visibile nella sezione “Consultazione domanda” sia dal cittadino richiedente che dal Patronato delegato, che in tal modo possono verificare anche la scadenza dell’autorizzazione.</w:t>
      </w:r>
    </w:p>
    <w:p w:rsidR="00FD6E7F" w:rsidRDefault="00FD6E7F" w:rsidP="00D1112F">
      <w:pPr>
        <w:spacing w:after="0"/>
        <w:ind w:left="567"/>
        <w:jc w:val="both"/>
        <w:rPr>
          <w:sz w:val="24"/>
          <w:szCs w:val="24"/>
        </w:rPr>
      </w:pPr>
    </w:p>
    <w:p w:rsidR="00D1112F" w:rsidRDefault="00D1112F" w:rsidP="00D1112F">
      <w:pPr>
        <w:spacing w:after="0"/>
        <w:rPr>
          <w:b/>
          <w:sz w:val="24"/>
          <w:szCs w:val="24"/>
          <w:u w:val="single"/>
        </w:rPr>
      </w:pPr>
    </w:p>
    <w:p w:rsidR="00D1112F" w:rsidRDefault="00D1112F" w:rsidP="00D1112F">
      <w:pPr>
        <w:spacing w:after="0"/>
        <w:rPr>
          <w:b/>
          <w:sz w:val="24"/>
          <w:szCs w:val="24"/>
          <w:u w:val="single"/>
        </w:rPr>
      </w:pPr>
    </w:p>
    <w:p w:rsidR="00D1112F" w:rsidRDefault="00D1112F" w:rsidP="00D1112F">
      <w:pPr>
        <w:spacing w:after="0"/>
        <w:rPr>
          <w:b/>
          <w:sz w:val="24"/>
          <w:szCs w:val="24"/>
          <w:u w:val="single"/>
        </w:rPr>
      </w:pPr>
    </w:p>
    <w:p w:rsidR="00D1112F" w:rsidRDefault="00D1112F" w:rsidP="00D1112F">
      <w:pPr>
        <w:spacing w:after="0"/>
        <w:rPr>
          <w:b/>
          <w:sz w:val="24"/>
          <w:szCs w:val="24"/>
          <w:u w:val="single"/>
        </w:rPr>
      </w:pPr>
    </w:p>
    <w:p w:rsidR="00B1676D" w:rsidRDefault="00B1676D" w:rsidP="00D1112F">
      <w:pPr>
        <w:spacing w:after="0"/>
        <w:rPr>
          <w:b/>
          <w:sz w:val="24"/>
          <w:szCs w:val="24"/>
          <w:u w:val="single"/>
        </w:rPr>
      </w:pPr>
    </w:p>
    <w:p w:rsidR="00B1676D" w:rsidRDefault="00B1676D" w:rsidP="00D1112F">
      <w:pPr>
        <w:spacing w:after="0"/>
        <w:rPr>
          <w:b/>
          <w:sz w:val="24"/>
          <w:szCs w:val="24"/>
          <w:u w:val="single"/>
        </w:rPr>
      </w:pPr>
    </w:p>
    <w:p w:rsidR="00D1112F" w:rsidRDefault="00D1112F" w:rsidP="00D1112F">
      <w:pPr>
        <w:spacing w:after="0"/>
        <w:rPr>
          <w:b/>
          <w:sz w:val="24"/>
          <w:szCs w:val="24"/>
          <w:u w:val="single"/>
        </w:rPr>
      </w:pPr>
    </w:p>
    <w:p w:rsidR="00D1112F" w:rsidRDefault="00D1112F" w:rsidP="00D1112F">
      <w:pPr>
        <w:spacing w:after="0"/>
        <w:rPr>
          <w:b/>
          <w:sz w:val="24"/>
          <w:szCs w:val="24"/>
          <w:u w:val="single"/>
        </w:rPr>
      </w:pPr>
    </w:p>
    <w:p w:rsidR="00E45858" w:rsidRPr="000431B6" w:rsidRDefault="000431B6" w:rsidP="00D1112F">
      <w:pPr>
        <w:spacing w:after="0"/>
        <w:rPr>
          <w:b/>
          <w:sz w:val="24"/>
          <w:szCs w:val="24"/>
          <w:u w:val="single"/>
        </w:rPr>
      </w:pPr>
      <w:r w:rsidRPr="000431B6">
        <w:rPr>
          <w:b/>
          <w:sz w:val="24"/>
          <w:szCs w:val="24"/>
          <w:u w:val="single"/>
        </w:rPr>
        <w:t>ANF ARRETRATI NOLTRE 3.000 EURO</w:t>
      </w:r>
    </w:p>
    <w:p w:rsidR="000431B6" w:rsidRDefault="000431B6" w:rsidP="00D1112F">
      <w:pPr>
        <w:spacing w:after="0"/>
        <w:ind w:left="567"/>
        <w:jc w:val="both"/>
        <w:rPr>
          <w:sz w:val="24"/>
          <w:szCs w:val="24"/>
        </w:rPr>
      </w:pPr>
      <w:r>
        <w:rPr>
          <w:sz w:val="24"/>
          <w:szCs w:val="24"/>
        </w:rPr>
        <w:t>Le nuove modalità di gestione degli ANF “spostano” sull’</w:t>
      </w:r>
      <w:r w:rsidR="00AE5F46">
        <w:rPr>
          <w:sz w:val="24"/>
          <w:szCs w:val="24"/>
        </w:rPr>
        <w:t>INPS i controlli sulla veridicità</w:t>
      </w:r>
      <w:r>
        <w:rPr>
          <w:sz w:val="24"/>
          <w:szCs w:val="24"/>
        </w:rPr>
        <w:t xml:space="preserve"> delle dichiarazioni fornite dai lavoratori in fase di richiesta degli assegni, rendendo di fatto il datore di lavoro un mero “erogatore” degli importi spettanti ai lavoratori.</w:t>
      </w:r>
    </w:p>
    <w:p w:rsidR="000431B6" w:rsidRDefault="000431B6" w:rsidP="00D1112F">
      <w:pPr>
        <w:spacing w:after="0"/>
        <w:ind w:left="567"/>
        <w:jc w:val="both"/>
        <w:rPr>
          <w:sz w:val="24"/>
          <w:szCs w:val="24"/>
        </w:rPr>
      </w:pPr>
      <w:r>
        <w:rPr>
          <w:sz w:val="24"/>
          <w:szCs w:val="24"/>
        </w:rPr>
        <w:t>Questo consente all’INPS di controllare puntualmente la congruità di tutti i conguagli effettuati, evidentemente anche in relazione agli assegni al nucleo familiare arretrati.</w:t>
      </w:r>
    </w:p>
    <w:p w:rsidR="000431B6" w:rsidRDefault="000431B6" w:rsidP="00D1112F">
      <w:pPr>
        <w:spacing w:after="0"/>
        <w:ind w:left="567"/>
        <w:jc w:val="both"/>
        <w:rPr>
          <w:sz w:val="24"/>
          <w:szCs w:val="24"/>
        </w:rPr>
      </w:pPr>
    </w:p>
    <w:p w:rsidR="000431B6" w:rsidRDefault="000431B6" w:rsidP="00D1112F">
      <w:pPr>
        <w:spacing w:after="0"/>
        <w:ind w:left="567"/>
        <w:jc w:val="both"/>
        <w:rPr>
          <w:sz w:val="24"/>
          <w:szCs w:val="24"/>
        </w:rPr>
      </w:pPr>
      <w:r>
        <w:rPr>
          <w:sz w:val="24"/>
          <w:szCs w:val="24"/>
        </w:rPr>
        <w:t xml:space="preserve">Pertanto, a decorrere dal </w:t>
      </w:r>
      <w:r w:rsidRPr="00AE5F46">
        <w:rPr>
          <w:b/>
          <w:sz w:val="24"/>
          <w:szCs w:val="24"/>
        </w:rPr>
        <w:t xml:space="preserve">flusso </w:t>
      </w:r>
      <w:proofErr w:type="spellStart"/>
      <w:r w:rsidRPr="00AE5F46">
        <w:rPr>
          <w:b/>
          <w:sz w:val="24"/>
          <w:szCs w:val="24"/>
        </w:rPr>
        <w:t>Uniemens</w:t>
      </w:r>
      <w:proofErr w:type="spellEnd"/>
      <w:r w:rsidRPr="00AE5F46">
        <w:rPr>
          <w:b/>
          <w:sz w:val="24"/>
          <w:szCs w:val="24"/>
        </w:rPr>
        <w:t xml:space="preserve"> </w:t>
      </w:r>
      <w:r>
        <w:rPr>
          <w:sz w:val="24"/>
          <w:szCs w:val="24"/>
        </w:rPr>
        <w:t xml:space="preserve">di competenza </w:t>
      </w:r>
      <w:r w:rsidRPr="00AE5F46">
        <w:rPr>
          <w:b/>
          <w:sz w:val="24"/>
          <w:szCs w:val="24"/>
        </w:rPr>
        <w:t>luglio 2019, viene meno la procedura</w:t>
      </w:r>
      <w:r>
        <w:rPr>
          <w:sz w:val="24"/>
          <w:szCs w:val="24"/>
        </w:rPr>
        <w:t xml:space="preserve"> per la gestione degli importi di </w:t>
      </w:r>
      <w:r w:rsidRPr="00AE5F46">
        <w:rPr>
          <w:b/>
          <w:sz w:val="24"/>
          <w:szCs w:val="24"/>
        </w:rPr>
        <w:t>ANF arretrati oltre i 3.000 euro</w:t>
      </w:r>
      <w:r>
        <w:rPr>
          <w:sz w:val="24"/>
          <w:szCs w:val="24"/>
        </w:rPr>
        <w:t xml:space="preserve"> di cui</w:t>
      </w:r>
      <w:r w:rsidR="00AE5F46">
        <w:rPr>
          <w:sz w:val="24"/>
          <w:szCs w:val="24"/>
        </w:rPr>
        <w:t xml:space="preserve"> al M</w:t>
      </w:r>
      <w:r>
        <w:rPr>
          <w:sz w:val="24"/>
          <w:szCs w:val="24"/>
        </w:rPr>
        <w:t xml:space="preserve">essaggio INPS </w:t>
      </w:r>
      <w:r w:rsidR="00AE5F46">
        <w:rPr>
          <w:sz w:val="24"/>
          <w:szCs w:val="24"/>
        </w:rPr>
        <w:t xml:space="preserve"> </w:t>
      </w:r>
      <w:r>
        <w:rPr>
          <w:sz w:val="24"/>
          <w:szCs w:val="24"/>
        </w:rPr>
        <w:t>n</w:t>
      </w:r>
      <w:r w:rsidR="00AE5F46">
        <w:rPr>
          <w:sz w:val="24"/>
          <w:szCs w:val="24"/>
        </w:rPr>
        <w:t>°.</w:t>
      </w:r>
      <w:r>
        <w:rPr>
          <w:sz w:val="24"/>
          <w:szCs w:val="24"/>
        </w:rPr>
        <w:t xml:space="preserve"> 4283/2017. Essendo l’</w:t>
      </w:r>
      <w:r w:rsidR="00AE5F46">
        <w:rPr>
          <w:sz w:val="24"/>
          <w:szCs w:val="24"/>
        </w:rPr>
        <w:t>INPS a comunicar</w:t>
      </w:r>
      <w:r>
        <w:rPr>
          <w:sz w:val="24"/>
          <w:szCs w:val="24"/>
        </w:rPr>
        <w:t>e gli importi spettanti ai lavoratori, qualora l’</w:t>
      </w:r>
      <w:r w:rsidR="00AE5F46">
        <w:rPr>
          <w:sz w:val="24"/>
          <w:szCs w:val="24"/>
        </w:rPr>
        <w:t xml:space="preserve">importo </w:t>
      </w:r>
      <w:r>
        <w:rPr>
          <w:sz w:val="24"/>
          <w:szCs w:val="24"/>
        </w:rPr>
        <w:t xml:space="preserve">superi tale soglia il datore di lavoro non </w:t>
      </w:r>
      <w:r w:rsidR="00D1112F">
        <w:rPr>
          <w:sz w:val="24"/>
          <w:szCs w:val="24"/>
        </w:rPr>
        <w:t xml:space="preserve">dovrà più trasmettere flussi di </w:t>
      </w:r>
      <w:r>
        <w:rPr>
          <w:sz w:val="24"/>
          <w:szCs w:val="24"/>
        </w:rPr>
        <w:t>regolarizzazione, ma potrà erogare direttamente l’importo previsto.</w:t>
      </w:r>
    </w:p>
    <w:p w:rsidR="00E45858" w:rsidRDefault="00E45858"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B1676D" w:rsidP="00D1112F">
      <w:pPr>
        <w:pBdr>
          <w:bottom w:val="single" w:sz="12" w:space="1" w:color="auto"/>
        </w:pBdr>
        <w:spacing w:after="0"/>
        <w:ind w:left="567"/>
        <w:jc w:val="both"/>
        <w:rPr>
          <w:sz w:val="24"/>
          <w:szCs w:val="24"/>
        </w:rPr>
      </w:pPr>
      <w:r>
        <w:rPr>
          <w:sz w:val="24"/>
          <w:szCs w:val="24"/>
        </w:rPr>
        <w:t>Rimanendo a disposizione per qualsiasi chiarimento, cordialmente salutiamo.</w:t>
      </w:r>
    </w:p>
    <w:p w:rsidR="00B1676D" w:rsidRDefault="00B1676D" w:rsidP="00D1112F">
      <w:pPr>
        <w:pBdr>
          <w:bottom w:val="single" w:sz="12" w:space="1" w:color="auto"/>
        </w:pBdr>
        <w:spacing w:after="0"/>
        <w:ind w:left="567"/>
        <w:jc w:val="both"/>
        <w:rPr>
          <w:sz w:val="24"/>
          <w:szCs w:val="24"/>
        </w:rPr>
      </w:pPr>
    </w:p>
    <w:p w:rsidR="00B1676D" w:rsidRDefault="00B1676D" w:rsidP="00D1112F">
      <w:pPr>
        <w:pBdr>
          <w:bottom w:val="single" w:sz="12" w:space="1" w:color="auto"/>
        </w:pBdr>
        <w:spacing w:after="0"/>
        <w:ind w:left="567"/>
        <w:jc w:val="both"/>
        <w:rPr>
          <w:sz w:val="24"/>
          <w:szCs w:val="24"/>
        </w:rPr>
      </w:pPr>
    </w:p>
    <w:p w:rsidR="00B1676D" w:rsidRDefault="00B1676D"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9526CE" w:rsidRDefault="009526CE"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9526CE" w:rsidRDefault="00B1676D" w:rsidP="00B1676D">
      <w:pPr>
        <w:pBdr>
          <w:bottom w:val="single" w:sz="12" w:space="1" w:color="auto"/>
        </w:pBdr>
        <w:spacing w:after="0"/>
        <w:ind w:left="567"/>
        <w:jc w:val="center"/>
        <w:rPr>
          <w:sz w:val="24"/>
          <w:szCs w:val="24"/>
        </w:rPr>
      </w:pPr>
      <w:r>
        <w:rPr>
          <w:sz w:val="24"/>
          <w:szCs w:val="24"/>
        </w:rPr>
        <w:t xml:space="preserve">                                                                                                        </w:t>
      </w:r>
    </w:p>
    <w:p w:rsidR="00D1112F" w:rsidRDefault="009526CE" w:rsidP="009526CE">
      <w:pPr>
        <w:pBdr>
          <w:bottom w:val="single" w:sz="12" w:space="1" w:color="auto"/>
        </w:pBdr>
        <w:spacing w:after="0"/>
        <w:ind w:left="567"/>
        <w:jc w:val="center"/>
        <w:rPr>
          <w:sz w:val="24"/>
          <w:szCs w:val="24"/>
        </w:rPr>
      </w:pPr>
      <w:r>
        <w:rPr>
          <w:sz w:val="24"/>
          <w:szCs w:val="24"/>
        </w:rPr>
        <w:t xml:space="preserve">                                                                                                   </w:t>
      </w:r>
      <w:bookmarkStart w:id="0" w:name="_GoBack"/>
      <w:bookmarkEnd w:id="0"/>
      <w:r w:rsidR="00B1676D">
        <w:rPr>
          <w:sz w:val="24"/>
          <w:szCs w:val="24"/>
        </w:rPr>
        <w:t xml:space="preserve">         Studio Giovannini Lara</w:t>
      </w: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9526CE" w:rsidRDefault="009526CE" w:rsidP="00D1112F">
      <w:pPr>
        <w:pBdr>
          <w:bottom w:val="single" w:sz="12" w:space="1" w:color="auto"/>
        </w:pBdr>
        <w:spacing w:after="0"/>
        <w:ind w:left="567"/>
        <w:jc w:val="both"/>
        <w:rPr>
          <w:sz w:val="24"/>
          <w:szCs w:val="24"/>
        </w:rPr>
      </w:pPr>
    </w:p>
    <w:p w:rsidR="009526CE" w:rsidRDefault="009526CE"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D1112F" w:rsidRDefault="00D1112F" w:rsidP="00D1112F">
      <w:pPr>
        <w:pBdr>
          <w:bottom w:val="single" w:sz="12" w:space="1" w:color="auto"/>
        </w:pBdr>
        <w:spacing w:after="0"/>
        <w:ind w:left="567"/>
        <w:jc w:val="both"/>
        <w:rPr>
          <w:sz w:val="24"/>
          <w:szCs w:val="24"/>
        </w:rPr>
      </w:pPr>
    </w:p>
    <w:p w:rsidR="00E45858" w:rsidRPr="00247C86" w:rsidRDefault="00D1112F" w:rsidP="00E45858">
      <w:pPr>
        <w:spacing w:after="0"/>
        <w:rPr>
          <w:sz w:val="24"/>
          <w:szCs w:val="24"/>
        </w:rPr>
      </w:pPr>
      <w:r>
        <w:rPr>
          <w:sz w:val="24"/>
          <w:szCs w:val="24"/>
        </w:rPr>
        <w:t xml:space="preserve">          </w:t>
      </w:r>
      <w:r w:rsidR="00E45858">
        <w:rPr>
          <w:sz w:val="24"/>
          <w:szCs w:val="24"/>
        </w:rPr>
        <w:t>P. IVA   01630701207  - CF.: GVNLRA68H46G467Q</w:t>
      </w:r>
    </w:p>
    <w:sectPr w:rsidR="00E45858" w:rsidRPr="00247C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OpenSymbol"/>
        <w:b w:val="0"/>
        <w:bCs w:val="0"/>
        <w:i w:val="0"/>
        <w:iCs w:val="0"/>
        <w:sz w:val="24"/>
        <w:szCs w:val="24"/>
      </w:rPr>
    </w:lvl>
  </w:abstractNum>
  <w:abstractNum w:abstractNumId="1" w15:restartNumberingAfterBreak="0">
    <w:nsid w:val="1AC51EA3"/>
    <w:multiLevelType w:val="hybridMultilevel"/>
    <w:tmpl w:val="2AEE6C5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0EF7CF7"/>
    <w:multiLevelType w:val="hybridMultilevel"/>
    <w:tmpl w:val="BC020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21212E"/>
    <w:multiLevelType w:val="hybridMultilevel"/>
    <w:tmpl w:val="06EE2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5B6901"/>
    <w:multiLevelType w:val="hybridMultilevel"/>
    <w:tmpl w:val="3F2E5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58"/>
    <w:rsid w:val="000431B6"/>
    <w:rsid w:val="000E7426"/>
    <w:rsid w:val="001031E7"/>
    <w:rsid w:val="00122EAA"/>
    <w:rsid w:val="0019168F"/>
    <w:rsid w:val="001C1F8B"/>
    <w:rsid w:val="001E4E69"/>
    <w:rsid w:val="00247C86"/>
    <w:rsid w:val="002D5341"/>
    <w:rsid w:val="00591E0E"/>
    <w:rsid w:val="006976DF"/>
    <w:rsid w:val="0074329B"/>
    <w:rsid w:val="0075648E"/>
    <w:rsid w:val="007D46EF"/>
    <w:rsid w:val="007F2D0D"/>
    <w:rsid w:val="007F4A1E"/>
    <w:rsid w:val="008B108E"/>
    <w:rsid w:val="0095160C"/>
    <w:rsid w:val="009526CE"/>
    <w:rsid w:val="0096336C"/>
    <w:rsid w:val="00AE5F46"/>
    <w:rsid w:val="00B1676D"/>
    <w:rsid w:val="00B917E8"/>
    <w:rsid w:val="00BC2EE1"/>
    <w:rsid w:val="00CE57E0"/>
    <w:rsid w:val="00D1112F"/>
    <w:rsid w:val="00D3642F"/>
    <w:rsid w:val="00DB763D"/>
    <w:rsid w:val="00E45858"/>
    <w:rsid w:val="00F507A5"/>
    <w:rsid w:val="00F84F43"/>
    <w:rsid w:val="00FD6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A27E"/>
  <w15:docId w15:val="{62996942-8998-4A21-95E1-80099EF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19168F"/>
    <w:pPr>
      <w:ind w:left="720"/>
      <w:contextualSpacing/>
    </w:pPr>
  </w:style>
  <w:style w:type="character" w:styleId="Collegamentoipertestuale">
    <w:name w:val="Hyperlink"/>
    <w:semiHidden/>
    <w:unhideWhenUsed/>
    <w:rsid w:val="00122EAA"/>
    <w:rPr>
      <w:color w:val="0563C1"/>
      <w:u w:val="single"/>
    </w:rPr>
  </w:style>
  <w:style w:type="paragraph" w:customStyle="1" w:styleId="titoloinformativa">
    <w:name w:val="titolo informativa"/>
    <w:rsid w:val="00122EAA"/>
    <w:pPr>
      <w:suppressAutoHyphens/>
      <w:spacing w:after="0" w:line="320" w:lineRule="exact"/>
      <w:jc w:val="center"/>
    </w:pPr>
    <w:rPr>
      <w:rFonts w:ascii="PT Sans" w:eastAsia="Times New Roman" w:hAnsi="PT Sans" w:cs="PT Sans"/>
      <w:b/>
      <w:bCs/>
      <w:sz w:val="24"/>
      <w:szCs w:val="20"/>
      <w:lang w:eastAsia="ar-SA"/>
    </w:rPr>
  </w:style>
  <w:style w:type="paragraph" w:customStyle="1" w:styleId="testopuntoelenco">
    <w:name w:val="testo punto elenco"/>
    <w:rsid w:val="00122EAA"/>
    <w:pPr>
      <w:tabs>
        <w:tab w:val="left" w:pos="227"/>
      </w:tabs>
      <w:suppressAutoHyphens/>
      <w:spacing w:after="0" w:line="320" w:lineRule="exact"/>
      <w:ind w:left="227" w:hanging="227"/>
      <w:jc w:val="both"/>
    </w:pPr>
    <w:rPr>
      <w:rFonts w:ascii="PT Sans" w:eastAsia="Times New Roman" w:hAnsi="PT Sans" w:cs="Arial"/>
      <w:lang w:eastAsia="ar-SA"/>
    </w:rPr>
  </w:style>
  <w:style w:type="paragraph" w:customStyle="1" w:styleId="corpotestoinformativa">
    <w:name w:val="corpo testo informativa"/>
    <w:rsid w:val="00122EAA"/>
    <w:pPr>
      <w:suppressAutoHyphens/>
      <w:spacing w:after="0" w:line="320" w:lineRule="exact"/>
      <w:jc w:val="both"/>
    </w:pPr>
    <w:rPr>
      <w:rFonts w:ascii="PT Sans" w:eastAsia="Times New Roman" w:hAnsi="PT Sans" w:cs="PT San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71">
      <w:bodyDiv w:val="1"/>
      <w:marLeft w:val="0"/>
      <w:marRight w:val="0"/>
      <w:marTop w:val="0"/>
      <w:marBottom w:val="0"/>
      <w:divBdr>
        <w:top w:val="none" w:sz="0" w:space="0" w:color="auto"/>
        <w:left w:val="none" w:sz="0" w:space="0" w:color="auto"/>
        <w:bottom w:val="none" w:sz="0" w:space="0" w:color="auto"/>
        <w:right w:val="none" w:sz="0" w:space="0" w:color="auto"/>
      </w:divBdr>
    </w:div>
    <w:div w:id="2267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F8FF-71AA-47D7-AFBE-14077746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 STUDIO GHERARDI -</dc:creator>
  <cp:lastModifiedBy>Giulia Cavalletto - STUDIO GIOVANNINI LARA -</cp:lastModifiedBy>
  <cp:revision>7</cp:revision>
  <cp:lastPrinted>2019-05-20T12:55:00Z</cp:lastPrinted>
  <dcterms:created xsi:type="dcterms:W3CDTF">2019-05-20T09:14:00Z</dcterms:created>
  <dcterms:modified xsi:type="dcterms:W3CDTF">2019-05-20T13:09:00Z</dcterms:modified>
</cp:coreProperties>
</file>